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593</w:t>
      </w:r>
    </w:p>
    <w:p>
      <w:r>
        <w:t>Bundesgericht (BGE), 2008-05-27, FR</w:t>
      </w:r>
    </w:p>
    <w:p>
      <w:r>
        <w:rPr>
          <w:b/>
        </w:rPr>
        <w:t xml:space="preserve">Quelle: </w:t>
      </w:r>
      <w:r>
        <w:t>https://mcp.opencaselaw.ch/entscheid/bge_136 III 593</w:t>
      </w:r>
    </w:p>
    <w:p>
      <w:r>
        <w:t>FR: ATF 136 III 593</w:t>
      </w:r>
    </w:p>
    <w:p>
      <w:r>
        <w:t>IT: DTF 136 III 593</w:t>
      </w:r>
    </w:p>
    <w:p>
      <w:pPr>
        <w:pStyle w:val="Heading2"/>
      </w:pPr>
      <w:r>
        <w:t>Regeste</w:t>
      </w:r>
    </w:p>
    <w:p>
      <w:r>
        <w:t>Regeste Art. 260c Abs. 3 ZGB; Anfechtung der Vaterschaftsanerkennung, Wiederherstellung der Klagefrist. Prüfung der Beschleunigung, mit welcher der Kläger nach Wegfall des Verspätungsgrundes vorgehen muss (E. 6.1). Das Kindesinteresse stellt keine zusätzliche Bedingung dar, um die Wiederherstellung der Frist zur Klage des Vaters auf Anfechtung der Vaterschaftsanerkennung zuzulassen (E. 6.2).</w:t>
      </w:r>
    </w:p>
    <w:p>
      <w:pPr>
        <w:pStyle w:val="Heading2"/>
      </w:pPr>
      <w:r>
        <w:t>Erwägungen</w:t>
      </w:r>
    </w:p>
    <w:p>
      <w:r>
        <w:rPr>
          <w:b/>
        </w:rPr>
        <w:t>E. 6</w:t>
      </w:r>
    </w:p>
    <w:p>
      <w:r>
        <w:t>(...)</w:t>
      </w:r>
    </w:p>
    <w:p>
      <w:r>
        <w:rPr>
          <w:b/>
        </w:rPr>
        <w:t>E. 6.1.1</w:t>
      </w:r>
    </w:p>
    <w:p>
      <w:r>
        <w:t>Selon l' art. 260c al. 1 CC ,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Dans le cas particulier, il n'est pas contesté que le recourant n'a pu respecter ni l'un ni l'autre délai. L' art. 260c al. 3 CC dispose toutefois que l'action peut néanmoins être intentée après l'expiration du délai lorsque de justes motifs rendent le retard excusable. Cela a pour conséquence qu'une restitution est en principe admissible de manière illimitée dans le temps. Pour tenir compte de l'allongement considérable du délai BGE 136 III 593 S. 595 d'ouverture d'action, il convient d'interpréter strictement la notion de justes motifs (cf. ATF 132 III 1 consid. 2.2 p. 3 et les références), d'éventuels rumeurs ou soupçons n'étant toutefois pas suffisants pour agir en justice. Une fois que le demandeur a connaissance du motif de restitution du délai, l' art. 256c al. 3 CC ne lui accorde cependant aucun délai supplémentaire, même de courte durée; il lui incombe ainsi d'agir avec toute la célérité possible, dès que la cause du retard a pris fin ( ATF 132 III 1 consid. 3.2 p. 5; ATF 129 II 409 consid. 3 p. 412; arrêt 5C.217/2006 du 29 septembre 2005 consid. 5), en principe dans le mois qui suit la fin de la cause du retard, sauf circonstances exceptionnelles, telles que la maladie ou une période de vacances (cf. ATF 132 III 1 consid. 3.2 p. 5 et arrêt 5C.113/2005 du 29 septembre 2005: actions introduites [à temps] dans le mois suivant la connaissance du motif de restitution; ATF 85 II 305 consid. 2 p. 311/312 et arrêt 5C.217/2006 du 19 février 2007: actions introduites [tardivement] sept semaines, respectivement quatre mois, après la connaissance du motif de restitution, sans que le demandeur invoque de raisons spéciales l'ayant empêché d'agir plus tôt; cf. également BURGAT/GUILLOD, Les actions tendant à la destruction du lien de filiation, in Quelques actions en annulation, 2007, p. 35 n° 110).</w:t>
      </w:r>
    </w:p>
    <w:p>
      <w:r>
        <w:rPr>
          <w:b/>
        </w:rPr>
        <w:t>E. 6.1.2</w:t>
      </w:r>
    </w:p>
    <w:p>
      <w:r>
        <w:t>En l'espèce, le recourant n'a pas eu de raison de douter de sa paternité avant l'été 2008. Il ressort en effet de l'arrêt attaqué qu'il a appris fortuitement, dans le courant du mois de juin 2008, qu'il n'était pas le père de l'enfant alors qu'il croyait l'être. La non-paternité a été confirmée par une expertise ADN réalisée lors d'un voyage en Bulgarie des intéressés. Ce document a été légalisé le 31 juillet 2008 par le Ministère de la Santé publique de la République de Bulgarie. Il ressort par ailleurs du dossier que le recourant a par la suite fait procéder à la traduction officielle de l'expertise, qui a reçu la légalisation du Ministère bulgare des affaires étrangères le 6 août 2008. A cette même date, l'expertise a été munie de l'apostille de la Convention de La Haye du 5 octobre 1961. Le recourant a ensuite requis d'un notaire genevois et obtenu, le 18 septembre 2008, les certifications de conformité à l'original de l'expertise et de sa traduction. S'agissant d'un document qui était rédigé dans une langue étrangère et rendu par un organisme étranger, de telles démarches étaient objectivement nécessaires. Elles ont en outre été conduites sans désemparer. A leur terme, l'action a été introduite dans les quinze jours. Dans ces circonstances, il faut admettre que le recourant a agi BGE 136 III 593 S. 596 avec toute la célérité requise. C'est dès lors en violation du droit fédéral que la Cour de justice a considéré que le recourant a tardé à agir.</w:t>
      </w:r>
    </w:p>
    <w:p>
      <w:r>
        <w:rPr>
          <w:b/>
        </w:rPr>
        <w:t>E. 6.2</w:t>
      </w:r>
    </w:p>
    <w:p>
      <w:r>
        <w:t>La motivation que la Chambre civile a entendu adopter par surabondance ne permettrait pas de justifier l'arrêt entrepris. A la suivre, la restitution du délai de l' art. 260c al. 1 CC serait soumise à l'examen de trois conditions cumulatives: l'existence d'un juste motif; l'ouverture, avec célérité, de l'action dès que la cause de retard a pris fin; l'intérêt de l'enfant à la restitution. Si la jurisprudence citée dans l'arrêt entrepris fait certes état de ce dernier élément (arrêts 5C.130/2003 du 14 octobre 2003 consid. 2; 5C.292/2005 du 16 mars 2006 consid. 3.4), elle n'a pas la portée que veut lui donner l'autorité cantonale. L'intérêt de l'enfant ne doit pas être compris comme une condition supplémentaire qui serait mise à l'admission d'une restitution du délai pour ouvrir l'action du père en contestation de la reconnaissance de paternité. Il intervient comme un élément d'appréciation lorsque les circonstances ne suffisent pas à fonder un juste motif. Si, dans une telle hypothèse, il n'est pas dans l'intérêt de l'enfant que la question du lien de filiation soit tout de même éclaircie, la restitution doit être refusée. Cela étant, c'est à tort que l'autorité cantonale a considéré que l'action devait être rejetée pour le motif qu'elle était périmée. Le recours doit donc être admis et la cause renvoyée pour examen des conditions de la demande en contestation de la reconnaissance de paternité.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